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5" w:rsidRPr="00A4178F" w:rsidRDefault="00160105" w:rsidP="00A4178F">
      <w:pPr>
        <w:ind w:left="5184" w:hanging="575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№1</w:t>
      </w:r>
      <w:r w:rsidRPr="00A4178F">
        <w:rPr>
          <w:b/>
          <w:bCs/>
        </w:rPr>
        <w:t xml:space="preserve"> к документации о закупке</w:t>
      </w:r>
      <w:r>
        <w:rPr>
          <w:rStyle w:val="af0"/>
          <w:b/>
          <w:bCs/>
        </w:rPr>
        <w:footnoteReference w:id="1"/>
      </w:r>
    </w:p>
    <w:p w:rsidR="00160105" w:rsidRDefault="00160105" w:rsidP="00A4178F">
      <w:pPr>
        <w:jc w:val="center"/>
        <w:rPr>
          <w:b/>
          <w:bCs/>
        </w:rPr>
      </w:pPr>
    </w:p>
    <w:p w:rsidR="00160105" w:rsidRPr="00BB0FD9" w:rsidRDefault="00160105" w:rsidP="00016CE6">
      <w:pPr>
        <w:keepNext/>
        <w:tabs>
          <w:tab w:val="left" w:pos="2160"/>
        </w:tabs>
        <w:ind w:right="-261"/>
        <w:jc w:val="center"/>
        <w:outlineLvl w:val="0"/>
        <w:rPr>
          <w:b/>
          <w:bCs/>
        </w:rPr>
      </w:pPr>
      <w:r>
        <w:rPr>
          <w:b/>
          <w:bCs/>
        </w:rPr>
        <w:t xml:space="preserve">ДОГОВОР № </w:t>
      </w:r>
      <w:r w:rsidRPr="00BF0201">
        <w:rPr>
          <w:b/>
          <w:bCs/>
        </w:rPr>
        <w:t>0605-20</w:t>
      </w:r>
      <w:r w:rsidRPr="00421611">
        <w:rPr>
          <w:b/>
          <w:bCs/>
        </w:rPr>
        <w:t>2</w:t>
      </w:r>
      <w:r w:rsidR="00C03068">
        <w:rPr>
          <w:b/>
          <w:bCs/>
        </w:rPr>
        <w:t>2</w:t>
      </w:r>
      <w:r w:rsidRPr="00BF0201">
        <w:rPr>
          <w:b/>
          <w:bCs/>
        </w:rPr>
        <w:t>-00</w:t>
      </w:r>
      <w:r>
        <w:rPr>
          <w:b/>
          <w:bCs/>
        </w:rPr>
        <w:t>00</w:t>
      </w:r>
      <w:r w:rsidR="00C03068">
        <w:rPr>
          <w:b/>
          <w:bCs/>
        </w:rPr>
        <w:t>1</w:t>
      </w:r>
    </w:p>
    <w:p w:rsidR="00160105" w:rsidRPr="00016CE6" w:rsidRDefault="00160105" w:rsidP="00BB0FD9">
      <w:pPr>
        <w:jc w:val="center"/>
        <w:rPr>
          <w:rFonts w:ascii="Courier New" w:hAnsi="Courier New" w:cs="Courier New"/>
          <w:b/>
          <w:bCs/>
        </w:rPr>
      </w:pPr>
    </w:p>
    <w:p w:rsidR="00160105" w:rsidRPr="00016CE6" w:rsidRDefault="00160105" w:rsidP="00016CE6">
      <w:pPr>
        <w:jc w:val="center"/>
      </w:pPr>
      <w:r w:rsidRPr="00016CE6">
        <w:t>г. Рыбинск</w:t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  <w:t>«____» _________ 20</w:t>
      </w:r>
      <w:r w:rsidRPr="00421611">
        <w:t>2</w:t>
      </w:r>
      <w:r w:rsidR="006E25E2">
        <w:t>2</w:t>
      </w:r>
      <w:r w:rsidRPr="00016CE6">
        <w:t>г.</w:t>
      </w:r>
    </w:p>
    <w:p w:rsidR="00160105" w:rsidRPr="00016CE6" w:rsidRDefault="00160105" w:rsidP="00016CE6">
      <w:pPr>
        <w:jc w:val="center"/>
      </w:pPr>
    </w:p>
    <w:p w:rsidR="00160105" w:rsidRPr="00016CE6" w:rsidRDefault="00160105" w:rsidP="00016CE6">
      <w:pPr>
        <w:jc w:val="both"/>
      </w:pPr>
      <w:proofErr w:type="gramStart"/>
      <w:r>
        <w:rPr>
          <w:b/>
          <w:bCs/>
        </w:rPr>
        <w:t>А</w:t>
      </w:r>
      <w:r w:rsidRPr="00016CE6">
        <w:rPr>
          <w:b/>
          <w:bCs/>
        </w:rPr>
        <w:t>кционерное обществ</w:t>
      </w:r>
      <w:r>
        <w:rPr>
          <w:b/>
          <w:bCs/>
        </w:rPr>
        <w:t>о «Конструкторское бюро «Луч» (</w:t>
      </w:r>
      <w:r w:rsidRPr="00016CE6">
        <w:rPr>
          <w:b/>
          <w:bCs/>
        </w:rPr>
        <w:t>АО «КБ «Луч»)</w:t>
      </w:r>
      <w:r w:rsidRPr="00016CE6">
        <w:t xml:space="preserve"> в лице </w:t>
      </w:r>
      <w:r>
        <w:t>заместителя главного инженера Костыгова</w:t>
      </w:r>
      <w:r w:rsidRPr="00B01E3D">
        <w:t xml:space="preserve"> Михаила </w:t>
      </w:r>
      <w:r>
        <w:t>Сергеевича</w:t>
      </w:r>
      <w:r w:rsidRPr="00B01E3D">
        <w:t xml:space="preserve">, действующего на основании </w:t>
      </w:r>
      <w:r>
        <w:t xml:space="preserve">Доверенности </w:t>
      </w:r>
      <w:r w:rsidRPr="000A09E5">
        <w:t>№</w:t>
      </w:r>
      <w:r>
        <w:t>564</w:t>
      </w:r>
      <w:r w:rsidRPr="000A09E5">
        <w:t xml:space="preserve"> от 1</w:t>
      </w:r>
      <w:r>
        <w:t>5</w:t>
      </w:r>
      <w:r w:rsidRPr="000A09E5">
        <w:t>.1</w:t>
      </w:r>
      <w:r>
        <w:t>2</w:t>
      </w:r>
      <w:r w:rsidRPr="000A09E5">
        <w:t>.20</w:t>
      </w:r>
      <w:r>
        <w:t>20</w:t>
      </w:r>
      <w:r w:rsidRPr="000A09E5">
        <w:t xml:space="preserve"> </w:t>
      </w:r>
      <w:r>
        <w:t>года</w:t>
      </w:r>
      <w:r w:rsidRPr="00016CE6">
        <w:t xml:space="preserve">, далее именуемое </w:t>
      </w:r>
      <w:r w:rsidRPr="00016CE6">
        <w:rPr>
          <w:b/>
          <w:bCs/>
        </w:rPr>
        <w:t>«Заказчик»</w:t>
      </w:r>
      <w:r w:rsidRPr="00016CE6">
        <w:t>, с одной стороны, и _____________________________________________________________________________,</w:t>
      </w:r>
      <w:proofErr w:type="gramEnd"/>
    </w:p>
    <w:p w:rsidR="00160105" w:rsidRPr="00016CE6" w:rsidRDefault="00160105" w:rsidP="00016CE6">
      <w:pPr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(полное наименование организации)</w:t>
      </w:r>
    </w:p>
    <w:p w:rsidR="00160105" w:rsidRPr="00016CE6" w:rsidRDefault="00160105" w:rsidP="00016CE6">
      <w:pPr>
        <w:jc w:val="both"/>
      </w:pPr>
      <w:r w:rsidRPr="00016CE6">
        <w:t>в лице _______________________________________________________________________,</w:t>
      </w:r>
    </w:p>
    <w:p w:rsidR="00160105" w:rsidRPr="00016CE6" w:rsidRDefault="00160105" w:rsidP="00016CE6">
      <w:pPr>
        <w:ind w:left="10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(должность, фамилия, имя, отчество)</w:t>
      </w:r>
    </w:p>
    <w:p w:rsidR="00160105" w:rsidRPr="00016CE6" w:rsidRDefault="00160105" w:rsidP="00016CE6">
      <w:pPr>
        <w:jc w:val="both"/>
      </w:pPr>
      <w:proofErr w:type="gramStart"/>
      <w:r w:rsidRPr="00016CE6">
        <w:t>действующего</w:t>
      </w:r>
      <w:proofErr w:type="gramEnd"/>
      <w:r w:rsidRPr="00016CE6">
        <w:t xml:space="preserve"> на основании ____________________________________________________,</w:t>
      </w:r>
    </w:p>
    <w:p w:rsidR="00160105" w:rsidRPr="00016CE6" w:rsidRDefault="00160105" w:rsidP="00016CE6">
      <w:pPr>
        <w:ind w:left="37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(наименование документа и его реквизиты)</w:t>
      </w:r>
    </w:p>
    <w:p w:rsidR="00160105" w:rsidRPr="00016CE6" w:rsidRDefault="00160105" w:rsidP="00016CE6">
      <w:pPr>
        <w:jc w:val="both"/>
      </w:pPr>
      <w:proofErr w:type="gramStart"/>
      <w:r w:rsidRPr="00016CE6">
        <w:t xml:space="preserve">далее именуемое </w:t>
      </w:r>
      <w:r w:rsidRPr="00016CE6">
        <w:rPr>
          <w:b/>
          <w:bCs/>
        </w:rPr>
        <w:t>«Исполнитель»</w:t>
      </w:r>
      <w:r w:rsidRPr="00016CE6">
        <w:t xml:space="preserve">, с другой стороны, вместе именуемые </w:t>
      </w:r>
      <w:r w:rsidRPr="00016CE6">
        <w:rPr>
          <w:b/>
          <w:bCs/>
        </w:rPr>
        <w:t>«Стороны»</w:t>
      </w:r>
      <w:r w:rsidRPr="00016CE6">
        <w:t xml:space="preserve">, заключили настоящий Договор (далее – </w:t>
      </w:r>
      <w:r w:rsidRPr="00016CE6">
        <w:rPr>
          <w:b/>
          <w:bCs/>
        </w:rPr>
        <w:t>«Договор»</w:t>
      </w:r>
      <w:r w:rsidRPr="00016CE6">
        <w:t>) о нижеследующем:</w:t>
      </w:r>
      <w:proofErr w:type="gramEnd"/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numPr>
          <w:ilvl w:val="3"/>
          <w:numId w:val="1"/>
        </w:numPr>
        <w:spacing w:before="120"/>
        <w:jc w:val="center"/>
        <w:rPr>
          <w:b/>
          <w:bCs/>
        </w:rPr>
      </w:pPr>
      <w:r w:rsidRPr="00016CE6">
        <w:rPr>
          <w:b/>
          <w:bCs/>
        </w:rPr>
        <w:t>ОСНОВАНИЯ ДЛЯ ЗАКЛЮЧЕНИЯ ДОГОВОРА.</w:t>
      </w:r>
    </w:p>
    <w:p w:rsidR="00160105" w:rsidRDefault="00160105" w:rsidP="001F59B3">
      <w:pPr>
        <w:jc w:val="both"/>
      </w:pPr>
      <w:r w:rsidRPr="004320E3">
        <w:t xml:space="preserve">1.1. Договор заключен на основании результатов проведённого  запроса цен в электронной форме на оказание услуг: Проведение периодического медицинского осмотра (обследования) работников предприятия АО «КБ «Луч», </w:t>
      </w:r>
      <w:r w:rsidR="00C03068" w:rsidRPr="00C03068">
        <w:t>занятых на тяжелых работах и  на работах с вредными и (или) опасными условиями труда</w:t>
      </w:r>
      <w:r>
        <w:t>.</w:t>
      </w:r>
    </w:p>
    <w:p w:rsidR="00160105" w:rsidRPr="00016CE6" w:rsidRDefault="00160105" w:rsidP="004320E3">
      <w:pPr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2. ПРЕДМЕТ ДОГОВОРА.</w:t>
      </w:r>
    </w:p>
    <w:p w:rsidR="00160105" w:rsidRDefault="00160105" w:rsidP="00016CE6">
      <w:pPr>
        <w:jc w:val="both"/>
      </w:pPr>
      <w:r w:rsidRPr="00016CE6">
        <w:t xml:space="preserve">2.1. </w:t>
      </w:r>
      <w:proofErr w:type="gramStart"/>
      <w:r w:rsidRPr="00016CE6">
        <w:t xml:space="preserve">Исполнитель по требованию Заказчика обязуется проводить периодические медицинские осмотры работников Заказчика в </w:t>
      </w:r>
      <w:r w:rsidRPr="0036358D">
        <w:t xml:space="preserve">соответствии с порядком проведения предварительных и периодических медицинских осмотров работников, предусмотренных частью четвертой статьи 213 Трудового кодекса Российской Федерации в соответствии с приложением №1 к  </w:t>
      </w:r>
      <w:r w:rsidRPr="0036358D">
        <w:rPr>
          <w:lang w:eastAsia="en-US"/>
        </w:rPr>
        <w:t>приказу Министерства здравоохранении Российско</w:t>
      </w:r>
      <w:r>
        <w:rPr>
          <w:lang w:eastAsia="en-US"/>
        </w:rPr>
        <w:t xml:space="preserve">й Федерации от 28.01.2021 N 29Н, </w:t>
      </w:r>
      <w:r w:rsidRPr="00016CE6">
        <w:t>а Заказчик обязуется принять и оплатить результат оказанных услуг.</w:t>
      </w:r>
      <w:r w:rsidRPr="00132543">
        <w:t xml:space="preserve"> </w:t>
      </w:r>
      <w:proofErr w:type="gramEnd"/>
    </w:p>
    <w:p w:rsidR="00160105" w:rsidRPr="00016CE6" w:rsidRDefault="00160105" w:rsidP="00016CE6">
      <w:pPr>
        <w:jc w:val="both"/>
      </w:pPr>
      <w:r>
        <w:t>2.2. Срок оказания услуг – до 31.12.202</w:t>
      </w:r>
      <w:r w:rsidR="00C03068">
        <w:t>2</w:t>
      </w:r>
      <w:r>
        <w:t>г.</w:t>
      </w:r>
    </w:p>
    <w:p w:rsidR="00160105" w:rsidRDefault="00160105" w:rsidP="00016CE6">
      <w:pPr>
        <w:jc w:val="center"/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3.ПРАВА И ОБЯЗАННОСТИ СТОРОН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3.1 Заказчик обязуется:</w:t>
      </w:r>
    </w:p>
    <w:p w:rsidR="00160105" w:rsidRPr="001F59B3" w:rsidRDefault="00160105" w:rsidP="00016CE6">
      <w:pPr>
        <w:jc w:val="both"/>
      </w:pPr>
      <w:r w:rsidRPr="001F59B3">
        <w:t>3.1.1.  Вручить работнику, направляемому на периодический осмотр, направление на периодический медицинский осмотр с указанием должности (профессии) или вида работы, вредных и опасных производственных факторов и вредных работ.</w:t>
      </w:r>
    </w:p>
    <w:p w:rsidR="00160105" w:rsidRPr="001F59B3" w:rsidRDefault="00160105" w:rsidP="00016CE6">
      <w:pPr>
        <w:jc w:val="both"/>
      </w:pPr>
      <w:r w:rsidRPr="001F59B3">
        <w:t>3.1.2. Предоставить Исполнителю списки лиц, подлежащих периодическим осмотрам, с указанием фамилии, имени, отчества, должности (профессии), наименование вредного производственного фактора или вида работы, наименование структурного подразделения работодателя (при наличии).</w:t>
      </w:r>
    </w:p>
    <w:p w:rsidR="00160105" w:rsidRPr="001F59B3" w:rsidRDefault="00160105" w:rsidP="00016CE6">
      <w:pPr>
        <w:jc w:val="both"/>
      </w:pPr>
      <w:r w:rsidRPr="001F59B3">
        <w:t>3.1.3.  При оказании Исполнителем услуг по настоящему договору Заказчик производит оплату оказанных услуг, в размере и в сроки, установленные п.4 настоящего договора.</w:t>
      </w: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3.2 Исполнитель обязуется:</w:t>
      </w:r>
    </w:p>
    <w:p w:rsidR="00160105" w:rsidRPr="001F59B3" w:rsidRDefault="00160105" w:rsidP="00016CE6">
      <w:pPr>
        <w:jc w:val="both"/>
      </w:pPr>
      <w:r w:rsidRPr="001F59B3">
        <w:t>3.2.1. Обеспечить качественное и своевременное оказание услуг, согласно действующему законодательству РФ и действующим медицинским стандартам в сроки, дополнительно согласованные с Заказчиком.</w:t>
      </w:r>
    </w:p>
    <w:p w:rsidR="00160105" w:rsidRPr="001F59B3" w:rsidRDefault="00160105" w:rsidP="00016CE6">
      <w:pPr>
        <w:jc w:val="both"/>
      </w:pPr>
      <w:r w:rsidRPr="001F59B3">
        <w:lastRenderedPageBreak/>
        <w:t>3.2.2.</w:t>
      </w:r>
      <w:r w:rsidRPr="001F59B3">
        <w:rPr>
          <w:rStyle w:val="dt-m"/>
        </w:rPr>
        <w:t>.</w:t>
      </w:r>
      <w:r w:rsidRPr="001F59B3">
        <w:t xml:space="preserve"> Оформить Заключение по окончании прохождения работниками периодических осмотров. </w:t>
      </w:r>
    </w:p>
    <w:p w:rsidR="00160105" w:rsidRPr="001F59B3" w:rsidRDefault="00160105" w:rsidP="00EA2F3E">
      <w:pPr>
        <w:jc w:val="both"/>
      </w:pPr>
      <w:r w:rsidRPr="001F59B3">
        <w:t>3.2.3. Составить Заключение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согласия.</w:t>
      </w:r>
    </w:p>
    <w:p w:rsidR="00160105" w:rsidRPr="001F59B3" w:rsidRDefault="00160105" w:rsidP="00EA2F3E">
      <w:pPr>
        <w:jc w:val="both"/>
      </w:pPr>
      <w:r w:rsidRPr="001F59B3">
        <w:t>3.2.4. По итогам проведения периодических осмотров не позднее чем через 30 дней после завершения проведения периодических осмотров Исполнитель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160105" w:rsidRPr="001F59B3" w:rsidRDefault="00160105" w:rsidP="00016CE6">
      <w:pPr>
        <w:jc w:val="both"/>
      </w:pPr>
      <w:r w:rsidRPr="001F59B3">
        <w:t>Составить и предоставить Заказчику не позднее чем через 30 дней после завершения периодического медицинского осмотра заключительный акт. Заключительный акт оформляется в соответствии с заключением медицинской комиссии о состоянии здоровья работников и наличии или отсутствии противопоказаний по допуску к работе.</w:t>
      </w:r>
    </w:p>
    <w:p w:rsidR="00160105" w:rsidRPr="00016CE6" w:rsidRDefault="00160105" w:rsidP="00016CE6">
      <w:pPr>
        <w:jc w:val="both"/>
      </w:pPr>
      <w:r w:rsidRPr="00363EF0">
        <w:t>3.2.5. Обеспечить участие высококвалифицированного медицинского персонала для оказания услуг в рамках выполнения обязательств по настоящему договору.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016CE6" w:rsidRDefault="00160105" w:rsidP="000A6252">
      <w:pPr>
        <w:numPr>
          <w:ilvl w:val="0"/>
          <w:numId w:val="2"/>
        </w:numPr>
        <w:jc w:val="center"/>
      </w:pPr>
      <w:r w:rsidRPr="00016CE6">
        <w:rPr>
          <w:b/>
          <w:bCs/>
        </w:rPr>
        <w:t>ЦЕНА И ПОРЯДОК РАСЧЕТОВ</w:t>
      </w:r>
    </w:p>
    <w:p w:rsidR="00160105" w:rsidRPr="00016CE6" w:rsidRDefault="00160105" w:rsidP="00016CE6">
      <w:pPr>
        <w:ind w:left="360"/>
      </w:pPr>
    </w:p>
    <w:p w:rsidR="00160105" w:rsidRDefault="00160105" w:rsidP="00016CE6">
      <w:pPr>
        <w:jc w:val="both"/>
      </w:pPr>
      <w:r w:rsidRPr="00016CE6">
        <w:t xml:space="preserve">4.1. </w:t>
      </w:r>
      <w:r>
        <w:t>Общая</w:t>
      </w:r>
      <w:r w:rsidRPr="0036358D">
        <w:t xml:space="preserve"> стоимость оказываемы</w:t>
      </w:r>
      <w:r>
        <w:t xml:space="preserve">х по настоящему Договору услуг не может превышать </w:t>
      </w:r>
      <w:r w:rsidR="00A65E1F" w:rsidRPr="00A65E1F">
        <w:t>535 762,00 (Пятьсот тридцать пять тысяч семьсот ш</w:t>
      </w:r>
      <w:r w:rsidR="00A65E1F">
        <w:t>естьдесят два) Российских рубля</w:t>
      </w:r>
      <w:r>
        <w:t>,</w:t>
      </w:r>
      <w:r w:rsidRPr="000A6252">
        <w:t xml:space="preserve"> без  НДС (НДС не облагается  в соответствии с подп. 2 п. 2 ст. 149 НК РФ).</w:t>
      </w:r>
    </w:p>
    <w:p w:rsidR="00160105" w:rsidRDefault="00160105" w:rsidP="001D0F10">
      <w:pPr>
        <w:jc w:val="both"/>
      </w:pPr>
      <w:r w:rsidRPr="00016CE6">
        <w:t xml:space="preserve">4.2. </w:t>
      </w:r>
      <w:r>
        <w:t xml:space="preserve">Цена за единицу услуги </w:t>
      </w:r>
      <w:r w:rsidR="00A65E1F">
        <w:t>( мед</w:t>
      </w:r>
      <w:r w:rsidR="00E21087">
        <w:t xml:space="preserve">ицинский </w:t>
      </w:r>
      <w:r w:rsidR="00A65E1F">
        <w:t xml:space="preserve">осмотр одного </w:t>
      </w:r>
      <w:r w:rsidR="00ED4514">
        <w:t>сотрудника</w:t>
      </w:r>
      <w:r w:rsidR="00A65E1F">
        <w:t>) составляет</w:t>
      </w:r>
      <w:proofErr w:type="gramStart"/>
      <w:r w:rsidR="00A65E1F">
        <w:t xml:space="preserve">________ (              ) </w:t>
      </w:r>
      <w:proofErr w:type="gramEnd"/>
      <w:r w:rsidR="00A65E1F">
        <w:t xml:space="preserve">Российских рублей, </w:t>
      </w:r>
      <w:r w:rsidR="00A65E1F" w:rsidRPr="000A6252">
        <w:t>без  НДС (НДС не облагается  в соответствии с подп. 2 п. 2 ст. 149 НК РФ).</w:t>
      </w:r>
    </w:p>
    <w:p w:rsidR="00160105" w:rsidRDefault="00160105" w:rsidP="001D0F10">
      <w:pPr>
        <w:jc w:val="both"/>
      </w:pPr>
      <w:r>
        <w:t xml:space="preserve">Цена за единицу услуги включает в себя налоги, сборы, обязательные платежи, стоимость оказания услуг, командировочные расходы, а также иные расходы, связанные с оказанием услуг. </w:t>
      </w:r>
    </w:p>
    <w:p w:rsidR="00160105" w:rsidRPr="00016CE6" w:rsidRDefault="00160105" w:rsidP="001D0F10">
      <w:pPr>
        <w:jc w:val="both"/>
      </w:pPr>
      <w:r>
        <w:t xml:space="preserve">4.3. </w:t>
      </w:r>
      <w:r w:rsidRPr="000A6252">
        <w:t xml:space="preserve">Установленная стоимость </w:t>
      </w:r>
      <w:r>
        <w:t>услуг</w:t>
      </w:r>
      <w:r w:rsidR="00A65E1F">
        <w:t>и</w:t>
      </w:r>
      <w:r w:rsidRPr="000A6252">
        <w:t xml:space="preserve"> Исполнителя является предельной и не подлежит изменению на весь срок действия договора.  </w:t>
      </w:r>
    </w:p>
    <w:p w:rsidR="00160105" w:rsidRDefault="00160105" w:rsidP="001D0F10">
      <w:pPr>
        <w:jc w:val="both"/>
      </w:pPr>
      <w:r>
        <w:t>4.4</w:t>
      </w:r>
      <w:r w:rsidRPr="00016CE6">
        <w:t xml:space="preserve">. </w:t>
      </w:r>
      <w:r>
        <w:t>Оплата услуг осуществляется по стоимостной величине единицы такой услуги, исходя из объема фактически оказанных услуг, в размере, не превышающем общую стоимость договора, указанную в п.4.1</w:t>
      </w:r>
    </w:p>
    <w:p w:rsidR="00160105" w:rsidRDefault="00160105" w:rsidP="001D0F10">
      <w:pPr>
        <w:jc w:val="both"/>
      </w:pPr>
      <w:r>
        <w:t>Фактический объем оказанных услуг фиксируется в акте сдачи приемки оказанных услуг.</w:t>
      </w:r>
    </w:p>
    <w:p w:rsidR="00160105" w:rsidRDefault="00160105" w:rsidP="001D0F10">
      <w:pPr>
        <w:jc w:val="both"/>
      </w:pPr>
      <w:r>
        <w:t>4.5.</w:t>
      </w:r>
      <w:r w:rsidRPr="001D0F10">
        <w:t xml:space="preserve"> Оплата услуг по Договору осуществляется Заказчиком по выставленном</w:t>
      </w:r>
      <w:r>
        <w:t>у Исполнителем счету в течение 30</w:t>
      </w:r>
      <w:r w:rsidRPr="001D0F10">
        <w:t xml:space="preserve"> (</w:t>
      </w:r>
      <w:r>
        <w:t>Тридцати</w:t>
      </w:r>
      <w:r w:rsidRPr="001D0F10">
        <w:t xml:space="preserve">) банковских дней </w:t>
      </w:r>
      <w:proofErr w:type="gramStart"/>
      <w:r w:rsidRPr="001D0F10">
        <w:t>с даты подписания</w:t>
      </w:r>
      <w:proofErr w:type="gramEnd"/>
      <w:r w:rsidRPr="001D0F10">
        <w:t xml:space="preserve"> акта сдачи-приемки оказанных услуг. Оплата за оказанные услуги осуществляется по безналичному расчету путем перечисления Заказчиком денежных средств на расчетный счет Исполнителя, указанный в Договоре.</w:t>
      </w:r>
    </w:p>
    <w:p w:rsidR="00160105" w:rsidRPr="00016CE6" w:rsidRDefault="00160105" w:rsidP="00016CE6">
      <w:pPr>
        <w:jc w:val="both"/>
      </w:pPr>
      <w:r>
        <w:t>4.6</w:t>
      </w:r>
      <w:r w:rsidRPr="00016CE6">
        <w:t xml:space="preserve">.  Акт </w:t>
      </w:r>
      <w:r>
        <w:t xml:space="preserve">сдачи </w:t>
      </w:r>
      <w:r w:rsidRPr="00016CE6">
        <w:t>приемки оказанных услуг подписывается Заказчиком не позднее 5</w:t>
      </w:r>
      <w:r>
        <w:t xml:space="preserve"> (П</w:t>
      </w:r>
      <w:r w:rsidRPr="00016CE6">
        <w:t>яти) рабочих дней с момента предоставления Заказчику при отсутствии замечаний и претензий.</w:t>
      </w:r>
    </w:p>
    <w:p w:rsidR="00160105" w:rsidRDefault="00160105" w:rsidP="00016CE6">
      <w:pPr>
        <w:jc w:val="both"/>
      </w:pPr>
      <w:r>
        <w:t>4.7</w:t>
      </w:r>
      <w:r w:rsidRPr="00016CE6">
        <w:t>. Днем исполнения Заказчиком обязательств по оплате счетов по настоящему договору считается день списания денежных сре</w:t>
      </w:r>
      <w:proofErr w:type="gramStart"/>
      <w:r w:rsidRPr="00016CE6">
        <w:t>дств с р</w:t>
      </w:r>
      <w:proofErr w:type="gramEnd"/>
      <w:r w:rsidRPr="00016CE6">
        <w:t>асчетного счета Заказчика.</w:t>
      </w:r>
    </w:p>
    <w:p w:rsidR="00160105" w:rsidRPr="00016CE6" w:rsidRDefault="00160105" w:rsidP="00016CE6">
      <w:pPr>
        <w:jc w:val="both"/>
      </w:pPr>
      <w:r>
        <w:t xml:space="preserve">4.8. </w:t>
      </w:r>
      <w:r w:rsidRPr="00D02258">
        <w:t>Заказчик не несет никакой ответственности за неполную выборку услуг на сумму в объеме менее суммы указанной в 4.1. настоящего договора.</w:t>
      </w:r>
    </w:p>
    <w:p w:rsidR="00160105" w:rsidRDefault="00160105" w:rsidP="00016CE6">
      <w:pPr>
        <w:jc w:val="both"/>
      </w:pPr>
    </w:p>
    <w:p w:rsidR="00152343" w:rsidRPr="00016CE6" w:rsidRDefault="00152343" w:rsidP="00016CE6">
      <w:pPr>
        <w:jc w:val="both"/>
      </w:pPr>
    </w:p>
    <w:p w:rsidR="00160105" w:rsidRPr="00016CE6" w:rsidRDefault="00160105" w:rsidP="00016CE6">
      <w:pPr>
        <w:numPr>
          <w:ilvl w:val="0"/>
          <w:numId w:val="2"/>
        </w:numPr>
        <w:jc w:val="center"/>
        <w:rPr>
          <w:b/>
          <w:bCs/>
        </w:rPr>
      </w:pPr>
      <w:r w:rsidRPr="00016CE6">
        <w:rPr>
          <w:b/>
          <w:bCs/>
        </w:rPr>
        <w:lastRenderedPageBreak/>
        <w:t>ОТВЕТСТВЕННОСТЬ СТОРОН</w:t>
      </w:r>
    </w:p>
    <w:p w:rsidR="00160105" w:rsidRPr="00016CE6" w:rsidRDefault="00160105" w:rsidP="00016CE6">
      <w:pPr>
        <w:ind w:left="360"/>
        <w:rPr>
          <w:b/>
          <w:bCs/>
        </w:rPr>
      </w:pPr>
    </w:p>
    <w:p w:rsidR="00160105" w:rsidRPr="00016CE6" w:rsidRDefault="00160105" w:rsidP="00016CE6">
      <w:pPr>
        <w:jc w:val="both"/>
      </w:pPr>
      <w:r w:rsidRPr="00016CE6">
        <w:t>5.1. Исполнитель несет ответственность за качество медицинского осмотра и обоснованность заключений.</w:t>
      </w:r>
    </w:p>
    <w:p w:rsidR="00160105" w:rsidRPr="00016CE6" w:rsidRDefault="00160105" w:rsidP="00016CE6">
      <w:pPr>
        <w:jc w:val="both"/>
      </w:pPr>
      <w:r w:rsidRPr="00016CE6">
        <w:t>5.2. В случае полного (частичного) невыполнения Исполнителем своих обязательств по настоящему договору, Исполнитель возмещает Заказчику причиненные убытки в части, не покрытой неустойкой.</w:t>
      </w:r>
    </w:p>
    <w:p w:rsidR="00160105" w:rsidRDefault="00160105" w:rsidP="00016CE6">
      <w:pPr>
        <w:jc w:val="both"/>
      </w:pPr>
      <w:r w:rsidRPr="00016CE6">
        <w:t xml:space="preserve">5.3. Применение штрафных санкций не освобождает Стороны от выполнения принятых обязательств. </w:t>
      </w:r>
    </w:p>
    <w:p w:rsidR="00160105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6. ФОРС-МАЖОР.</w:t>
      </w:r>
    </w:p>
    <w:p w:rsidR="00160105" w:rsidRPr="00016CE6" w:rsidRDefault="00160105" w:rsidP="00016CE6">
      <w:pPr>
        <w:jc w:val="both"/>
      </w:pPr>
      <w:r w:rsidRPr="00016CE6">
        <w:t>6.1.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силы, непосредственно влияющих на их исполнение, в частности, но не исключительно: пожара, стихийного бедствия, аварий, военных или боевых действий, массовых беспорядков, забастовок.</w:t>
      </w:r>
    </w:p>
    <w:p w:rsidR="00160105" w:rsidRPr="00016CE6" w:rsidRDefault="00160105" w:rsidP="00016CE6">
      <w:pPr>
        <w:jc w:val="both"/>
      </w:pPr>
      <w:r w:rsidRPr="00016CE6">
        <w:t>6.2. Сторона, для которой возникла невозможность исполнения своих обязательств по причинам, предусмотренным п. 6.1. настоящего Договора, обязана незамедлительно письменно и с приведением доказательств уведомить другую Сторону о наступлении указанных обстоятельств. Надлежащим доказательством наличия указанных выше обстоятельств и их продолжительности могут быть признаны свидетельства, выданные соответствующими компетентными органами.</w:t>
      </w:r>
    </w:p>
    <w:p w:rsidR="00160105" w:rsidRPr="00016CE6" w:rsidRDefault="00160105" w:rsidP="00016CE6">
      <w:pPr>
        <w:jc w:val="both"/>
      </w:pPr>
      <w:r w:rsidRPr="00016CE6">
        <w:t xml:space="preserve">6.3. </w:t>
      </w:r>
      <w:proofErr w:type="spellStart"/>
      <w:r w:rsidRPr="00016CE6">
        <w:t>Неуведомление</w:t>
      </w:r>
      <w:proofErr w:type="spellEnd"/>
      <w:r w:rsidRPr="00016CE6">
        <w:t>, несвоевременное и/или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6.4.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обстоятельств. Если обстоятельства непреодолимой сил</w:t>
      </w:r>
      <w:r>
        <w:t>ы будут продолжаться более 60 (Ш</w:t>
      </w:r>
      <w:r w:rsidRPr="00016CE6">
        <w:t>естьдесят) календарных дней, каждая из Сторон вправе отказаться от выполнения обязательств по настоящему Договору. В этом случае Стороны обязаны произвести полные взаиморасчеты по уже реализованной части настоящего Договора, и ни одна из Сторон не будет иметь право требовать возмещения возможных убытков и упущенной выгоды.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7.РАЗРЕШЕНИЕ СПОРОВ.</w:t>
      </w:r>
    </w:p>
    <w:p w:rsidR="00160105" w:rsidRPr="00016CE6" w:rsidRDefault="00160105" w:rsidP="00016CE6">
      <w:pPr>
        <w:jc w:val="both"/>
      </w:pPr>
      <w:r w:rsidRPr="00016CE6">
        <w:t>7.1. Все споры и разногласия, возникшие в ходе выполнения настоящего договора, Стороны разрешают путем переговоров.</w:t>
      </w:r>
    </w:p>
    <w:p w:rsidR="00160105" w:rsidRPr="00016CE6" w:rsidRDefault="00160105" w:rsidP="00A50D44">
      <w:pPr>
        <w:jc w:val="both"/>
      </w:pPr>
      <w:r w:rsidRPr="00016CE6">
        <w:t xml:space="preserve">7.2. </w:t>
      </w:r>
      <w:r>
        <w:t>В случае если Стороны не могут прийти к соглашению,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</w:t>
      </w:r>
      <w:r w:rsidRPr="00B01E3D">
        <w:t>.</w:t>
      </w:r>
    </w:p>
    <w:p w:rsidR="00160105" w:rsidRPr="00016CE6" w:rsidRDefault="00160105" w:rsidP="00016CE6">
      <w:pPr>
        <w:jc w:val="both"/>
      </w:pPr>
      <w:r>
        <w:t>7.3</w:t>
      </w:r>
      <w:r w:rsidRPr="00016CE6">
        <w:t>. При исполнении настоящего Договора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ind w:firstLine="601"/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8. СРОК ДЕЙСТВИЯ И РАСТОРЖЕНИЕ ДОГОВОРА.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p w:rsidR="00160105" w:rsidRDefault="00160105" w:rsidP="00016CE6">
      <w:pPr>
        <w:jc w:val="both"/>
      </w:pPr>
      <w:r w:rsidRPr="00016CE6">
        <w:t xml:space="preserve">8.1. Настоящий Договор вступает в силу с момента его подписания Сторонами и действует до </w:t>
      </w:r>
      <w:r>
        <w:t>31.12.202</w:t>
      </w:r>
      <w:r w:rsidR="00152343">
        <w:t>2</w:t>
      </w:r>
      <w:r>
        <w:t>г. либо до момента оказания услуг на общую стоимость, указанную в п.4.1 настоящего Договора, в зависимости от того, какой момент наступит ранее.</w:t>
      </w:r>
    </w:p>
    <w:p w:rsidR="00160105" w:rsidRDefault="00160105" w:rsidP="00016CE6">
      <w:pPr>
        <w:jc w:val="both"/>
      </w:pPr>
      <w:r>
        <w:lastRenderedPageBreak/>
        <w:t>Истечение срока действия Договора не освобождает Стороны от исполнения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8.2. Настоящий Договор может быть расторгнут:</w:t>
      </w:r>
    </w:p>
    <w:p w:rsidR="00160105" w:rsidRPr="00016CE6" w:rsidRDefault="00160105" w:rsidP="00016CE6">
      <w:pPr>
        <w:ind w:left="-540" w:firstLine="540"/>
        <w:jc w:val="both"/>
      </w:pPr>
      <w:r w:rsidRPr="00016CE6">
        <w:t>8.2.1. По соглашению Сторон.</w:t>
      </w:r>
    </w:p>
    <w:p w:rsidR="00160105" w:rsidRPr="00016CE6" w:rsidRDefault="00160105" w:rsidP="00016CE6">
      <w:pPr>
        <w:jc w:val="both"/>
      </w:pPr>
      <w:r w:rsidRPr="00016CE6">
        <w:t>8.2.2. В одностороннем порядке по инициативе Заказчика с момента получения Исполнителем соответствующего уведомления.</w:t>
      </w:r>
    </w:p>
    <w:p w:rsidR="00160105" w:rsidRDefault="00160105" w:rsidP="00016CE6">
      <w:pPr>
        <w:jc w:val="both"/>
      </w:pPr>
      <w:r w:rsidRPr="00016CE6">
        <w:t>8.2.3. По форс-мажорным обстоятельствам.</w:t>
      </w:r>
    </w:p>
    <w:p w:rsidR="00160105" w:rsidRDefault="00160105" w:rsidP="00016CE6">
      <w:pPr>
        <w:jc w:val="both"/>
      </w:pPr>
    </w:p>
    <w:p w:rsidR="00160105" w:rsidRPr="00016CE6" w:rsidRDefault="00160105" w:rsidP="003A1514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9. ПРОЧИЕ УСЛОВИЯ.</w:t>
      </w:r>
    </w:p>
    <w:p w:rsidR="00160105" w:rsidRPr="00016CE6" w:rsidRDefault="00160105" w:rsidP="00016CE6">
      <w:pPr>
        <w:jc w:val="both"/>
      </w:pPr>
      <w:r w:rsidRPr="00016CE6">
        <w:t>9.1.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Сторон.</w:t>
      </w:r>
    </w:p>
    <w:p w:rsidR="00160105" w:rsidRPr="00016CE6" w:rsidRDefault="00160105" w:rsidP="00016CE6">
      <w:pPr>
        <w:jc w:val="both"/>
      </w:pPr>
      <w:r w:rsidRPr="00016CE6"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jc w:val="both"/>
      </w:pPr>
      <w:r w:rsidRPr="00016CE6">
        <w:t xml:space="preserve">9.3.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0105" w:rsidRPr="00016CE6" w:rsidRDefault="00160105" w:rsidP="00016CE6">
      <w:pPr>
        <w:jc w:val="both"/>
      </w:pPr>
      <w:r w:rsidRPr="00016CE6">
        <w:t xml:space="preserve">9.4. Настоящий Договор и любые приложения, дополнения, изменения к нему, направляемые Сторонами любым способом, позволяющим достоверно установить, что вышеуказанные документы исходят от Стороны по настоящему Договору, включая, но, не ограничиваясь электронной или факсимильной </w:t>
      </w:r>
      <w:proofErr w:type="gramStart"/>
      <w:r w:rsidRPr="00016CE6">
        <w:t>связью</w:t>
      </w:r>
      <w:proofErr w:type="gramEnd"/>
      <w:r w:rsidRPr="00016CE6">
        <w:t xml:space="preserve"> являются действительными и обладают юридической силой, при условии передачи подлинников данных документов в течение 30 (тридцати) календарных дней с момента подписания документов.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10. АДРЕСА И РЕКВИЗИТЫ СТОРОН: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31"/>
          <w:jc w:val="center"/>
        </w:trPr>
        <w:tc>
          <w:tcPr>
            <w:tcW w:w="4680" w:type="dxa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Заказчик </w:t>
            </w:r>
          </w:p>
        </w:tc>
      </w:tr>
      <w:tr w:rsidR="00160105" w:rsidRPr="00016CE6">
        <w:trPr>
          <w:trHeight w:val="2713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Почтовый и фактический адрес: </w:t>
            </w:r>
          </w:p>
          <w:p w:rsidR="00160105" w:rsidRPr="00016CE6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Телефон:                           Факс: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ОГРН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ИНН:                           КПП: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ОКПО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ОКВЭД  </w:t>
            </w:r>
          </w:p>
          <w:p w:rsidR="00160105" w:rsidRPr="00016CE6" w:rsidRDefault="00160105" w:rsidP="00016CE6">
            <w:pPr>
              <w:jc w:val="both"/>
            </w:pPr>
            <w:r w:rsidRPr="00016CE6">
              <w:t>Расчетный счет: 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в ____________________________________</w:t>
            </w:r>
          </w:p>
          <w:p w:rsidR="00160105" w:rsidRPr="00016CE6" w:rsidRDefault="00160105" w:rsidP="00016CE6">
            <w:pPr>
              <w:jc w:val="both"/>
            </w:pPr>
            <w:proofErr w:type="gramStart"/>
            <w:r w:rsidRPr="00016CE6">
              <w:t>Кор. счет</w:t>
            </w:r>
            <w:proofErr w:type="gramEnd"/>
            <w:r w:rsidRPr="00016CE6">
              <w:t>: 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БИК: ________________________________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016CE6">
            <w:r w:rsidRPr="00016CE6">
              <w:t>Юридический, почтовый и фактический адрес: 152920, Ярославская область, город Рыбинск, бульвар Победы, дом 25</w:t>
            </w:r>
          </w:p>
          <w:p w:rsidR="00160105" w:rsidRPr="00016CE6" w:rsidRDefault="00160105" w:rsidP="00016CE6">
            <w:r w:rsidRPr="00016CE6">
              <w:t>Телефон: (4855) 28-58-22, Факс: (4855) 28-58-35</w:t>
            </w:r>
          </w:p>
          <w:p w:rsidR="00160105" w:rsidRPr="00016CE6" w:rsidRDefault="00160105" w:rsidP="00016CE6">
            <w:r w:rsidRPr="00016CE6">
              <w:t>ОГРН 104 760 161 4390</w:t>
            </w:r>
          </w:p>
          <w:p w:rsidR="00160105" w:rsidRPr="00016CE6" w:rsidRDefault="00160105" w:rsidP="00016CE6">
            <w:r w:rsidRPr="00016CE6">
              <w:t>ИНН: 7610 063 043 КПП: 761 001 001</w:t>
            </w:r>
          </w:p>
          <w:p w:rsidR="00160105" w:rsidRPr="00016CE6" w:rsidRDefault="00160105" w:rsidP="00016CE6">
            <w:r w:rsidRPr="00016CE6">
              <w:t xml:space="preserve">ОКПО 075 076 66 </w:t>
            </w:r>
          </w:p>
          <w:p w:rsidR="00160105" w:rsidRPr="00016CE6" w:rsidRDefault="00160105" w:rsidP="00016CE6">
            <w:r w:rsidRPr="00016CE6">
              <w:t>ОКВЭД</w:t>
            </w:r>
            <w:r>
              <w:t xml:space="preserve"> 2</w:t>
            </w:r>
            <w:r w:rsidRPr="00016CE6">
              <w:t xml:space="preserve"> 7</w:t>
            </w:r>
            <w:r>
              <w:t>2</w:t>
            </w:r>
            <w:r w:rsidRPr="00016CE6">
              <w:t>.1</w:t>
            </w:r>
            <w:r>
              <w:t>9</w:t>
            </w:r>
            <w:r w:rsidRPr="00016CE6">
              <w:t>.</w:t>
            </w:r>
          </w:p>
          <w:p w:rsidR="00A65E1F" w:rsidRDefault="00A65E1F" w:rsidP="00A65E1F">
            <w:proofErr w:type="gramStart"/>
            <w:r>
              <w:t>р</w:t>
            </w:r>
            <w:proofErr w:type="gramEnd"/>
            <w:r>
              <w:t>/с  40702810505000000151</w:t>
            </w:r>
          </w:p>
          <w:p w:rsidR="00A65E1F" w:rsidRDefault="00A65E1F" w:rsidP="00A65E1F">
            <w:r>
              <w:t>в Филиале АО АКБ «НОВИКОМБАНК»</w:t>
            </w:r>
          </w:p>
          <w:p w:rsidR="00A65E1F" w:rsidRDefault="00A65E1F" w:rsidP="00A65E1F">
            <w:r>
              <w:t>в г. Санкт-Петербурге</w:t>
            </w:r>
          </w:p>
          <w:p w:rsidR="00160105" w:rsidRPr="00016CE6" w:rsidRDefault="00A65E1F" w:rsidP="00A65E1F">
            <w:r>
              <w:t>БИК 044030902</w:t>
            </w:r>
          </w:p>
        </w:tc>
      </w:tr>
      <w:tr w:rsidR="00160105" w:rsidRPr="00016CE6">
        <w:trPr>
          <w:trHeight w:val="1226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C2FE0" w:rsidRDefault="00160105" w:rsidP="00016CE6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016CE6">
            <w:pPr>
              <w:jc w:val="both"/>
            </w:pPr>
            <w:r w:rsidRPr="00016CE6">
              <w:t>АО «КБ «Луч»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C2FE0" w:rsidRDefault="00160105" w:rsidP="000C2FE0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319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160105" w:rsidRDefault="0016010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0105" w:rsidRPr="00B01E3D" w:rsidRDefault="00160105" w:rsidP="00841ECA">
      <w:pPr>
        <w:jc w:val="right"/>
      </w:pPr>
      <w:r w:rsidRPr="00B01E3D">
        <w:lastRenderedPageBreak/>
        <w:t xml:space="preserve">Приложение №1 </w:t>
      </w:r>
    </w:p>
    <w:p w:rsidR="00160105" w:rsidRPr="0001400C" w:rsidRDefault="00160105" w:rsidP="00841ECA">
      <w:pPr>
        <w:jc w:val="right"/>
      </w:pPr>
      <w:r>
        <w:t xml:space="preserve">к Договору № </w:t>
      </w:r>
      <w:r w:rsidRPr="00442983">
        <w:t>0605-20</w:t>
      </w:r>
      <w:r>
        <w:t>2</w:t>
      </w:r>
      <w:r w:rsidR="00A65E1F">
        <w:t>2</w:t>
      </w:r>
      <w:r w:rsidRPr="00442983">
        <w:t>-00</w:t>
      </w:r>
      <w:r>
        <w:t>00</w:t>
      </w:r>
      <w:r w:rsidR="00A65E1F">
        <w:t>1</w:t>
      </w:r>
    </w:p>
    <w:p w:rsidR="00160105" w:rsidRPr="00B01E3D" w:rsidRDefault="00160105" w:rsidP="00841ECA">
      <w:pPr>
        <w:jc w:val="right"/>
      </w:pPr>
      <w:r w:rsidRPr="00B01E3D">
        <w:t>от ______________20</w:t>
      </w:r>
      <w:r>
        <w:t>__</w:t>
      </w:r>
      <w:r w:rsidRPr="00B01E3D">
        <w:t xml:space="preserve"> г.</w:t>
      </w:r>
    </w:p>
    <w:p w:rsidR="00A65E1F" w:rsidRPr="0085416A" w:rsidRDefault="00A65E1F" w:rsidP="00076BF8">
      <w:pPr>
        <w:spacing w:after="60"/>
        <w:jc w:val="center"/>
        <w:rPr>
          <w:b/>
          <w:bCs/>
        </w:rPr>
      </w:pPr>
      <w:r w:rsidRPr="0085416A">
        <w:rPr>
          <w:b/>
          <w:bCs/>
        </w:rPr>
        <w:t>ТЕХНИЧЕСКОЕ ЗАДАНИЕ</w:t>
      </w:r>
    </w:p>
    <w:p w:rsidR="00A65E1F" w:rsidRPr="0085416A" w:rsidRDefault="00A65E1F" w:rsidP="00076BF8">
      <w:pPr>
        <w:spacing w:after="120"/>
        <w:jc w:val="center"/>
      </w:pPr>
      <w:r w:rsidRPr="0085416A">
        <w:rPr>
          <w:b/>
          <w:bCs/>
        </w:rPr>
        <w:t>на оказание услуг</w:t>
      </w:r>
    </w:p>
    <w:p w:rsidR="00A65E1F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>1. Предмет закупки:</w:t>
      </w:r>
      <w:r w:rsidRPr="0085416A">
        <w:t xml:space="preserve"> </w:t>
      </w:r>
      <w:r w:rsidRPr="001610F8">
        <w:rPr>
          <w:i/>
          <w:iCs/>
          <w:u w:val="single"/>
        </w:rPr>
        <w:t>Оказание услуг: Проведение периодического медицинского осмотра (обследования) работников предприятия АО «КБ «Луч», занятых</w:t>
      </w:r>
      <w:r>
        <w:rPr>
          <w:i/>
          <w:iCs/>
          <w:u w:val="single"/>
        </w:rPr>
        <w:t xml:space="preserve"> на тяжелых работах и </w:t>
      </w:r>
      <w:r w:rsidRPr="003C35A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на </w:t>
      </w:r>
      <w:r w:rsidRPr="001610F8">
        <w:rPr>
          <w:i/>
          <w:iCs/>
          <w:u w:val="single"/>
        </w:rPr>
        <w:t>работ</w:t>
      </w:r>
      <w:r>
        <w:rPr>
          <w:i/>
          <w:iCs/>
          <w:u w:val="single"/>
        </w:rPr>
        <w:t>ах</w:t>
      </w:r>
      <w:r w:rsidRPr="001610F8">
        <w:rPr>
          <w:i/>
          <w:iCs/>
          <w:u w:val="single"/>
        </w:rPr>
        <w:t xml:space="preserve"> с вредными и (или) опасными </w:t>
      </w:r>
      <w:r>
        <w:rPr>
          <w:i/>
          <w:iCs/>
          <w:u w:val="single"/>
        </w:rPr>
        <w:t>условиями труда.</w:t>
      </w:r>
      <w:r w:rsidRPr="001610F8">
        <w:rPr>
          <w:i/>
          <w:iCs/>
          <w:u w:val="single"/>
        </w:rPr>
        <w:t xml:space="preserve"> </w:t>
      </w:r>
    </w:p>
    <w:p w:rsidR="00A65E1F" w:rsidRPr="001610F8" w:rsidRDefault="00A65E1F" w:rsidP="00076BF8">
      <w:pPr>
        <w:spacing w:before="120"/>
        <w:jc w:val="both"/>
        <w:rPr>
          <w:b/>
          <w:bCs/>
          <w:u w:val="single"/>
        </w:rPr>
      </w:pPr>
      <w:r w:rsidRPr="0085416A">
        <w:rPr>
          <w:b/>
          <w:bCs/>
        </w:rPr>
        <w:t xml:space="preserve">2. Место и условия оказания услуг: </w:t>
      </w:r>
      <w:r w:rsidRPr="001610F8">
        <w:rPr>
          <w:i/>
          <w:iCs/>
          <w:u w:val="single"/>
        </w:rPr>
        <w:t>Оказание услуг по</w:t>
      </w:r>
      <w:r w:rsidRPr="001610F8">
        <w:rPr>
          <w:b/>
          <w:bCs/>
          <w:u w:val="single"/>
        </w:rPr>
        <w:t xml:space="preserve"> </w:t>
      </w:r>
      <w:r w:rsidRPr="001610F8">
        <w:rPr>
          <w:i/>
          <w:iCs/>
          <w:u w:val="single"/>
        </w:rPr>
        <w:t>адресу: Российская Федерация, 152920, Ярославская область, город Рыбинск, бульвар Победы, дом 25.</w:t>
      </w:r>
    </w:p>
    <w:p w:rsidR="00A65E1F" w:rsidRPr="001610F8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3. Срок оказания услуг: </w:t>
      </w:r>
      <w:r w:rsidRPr="001610F8">
        <w:rPr>
          <w:i/>
          <w:iCs/>
          <w:u w:val="single"/>
        </w:rPr>
        <w:t>до 31.12.202</w:t>
      </w:r>
      <w:r>
        <w:rPr>
          <w:i/>
          <w:iCs/>
          <w:u w:val="single"/>
        </w:rPr>
        <w:t>2</w:t>
      </w:r>
      <w:r w:rsidRPr="001610F8">
        <w:rPr>
          <w:i/>
          <w:iCs/>
          <w:u w:val="single"/>
        </w:rPr>
        <w:t>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4. Требования о включенных в цену услуг расходах: </w:t>
      </w:r>
      <w:r w:rsidRPr="001610F8">
        <w:rPr>
          <w:i/>
          <w:iCs/>
          <w:u w:val="single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</w:rPr>
      </w:pPr>
      <w:r w:rsidRPr="001610F8">
        <w:rPr>
          <w:b/>
          <w:bCs/>
        </w:rPr>
        <w:t>5.</w:t>
      </w:r>
      <w:r w:rsidRPr="001610F8">
        <w:rPr>
          <w:rFonts w:ascii="Arial" w:hAnsi="Arial" w:cs="Arial"/>
          <w:b/>
          <w:bCs/>
        </w:rPr>
        <w:t xml:space="preserve"> </w:t>
      </w:r>
      <w:proofErr w:type="gramStart"/>
      <w:r w:rsidRPr="001610F8">
        <w:rPr>
          <w:b/>
          <w:bCs/>
        </w:rPr>
        <w:t>Технические характеристики и потребительские свойства (не хуже):</w:t>
      </w:r>
      <w:r w:rsidRPr="008541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0F8">
        <w:rPr>
          <w:i/>
          <w:iCs/>
          <w:u w:val="single"/>
        </w:rPr>
        <w:t>проведение периодического медицинского осмотра работников АО «КБ «Луч»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1610F8">
        <w:rPr>
          <w:i/>
          <w:iCs/>
          <w:u w:val="single"/>
        </w:rPr>
        <w:t xml:space="preserve"> работами, при выполнении которых проводятся обязательные предварительные и периодические медицинские осмотры».</w:t>
      </w:r>
    </w:p>
    <w:p w:rsidR="00A65E1F" w:rsidRPr="0085416A" w:rsidRDefault="00A65E1F" w:rsidP="00076BF8">
      <w:pPr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6. Требования по комплекту услуг: </w:t>
      </w:r>
      <w:r w:rsidRPr="0085416A">
        <w:rPr>
          <w:i/>
          <w:iCs/>
          <w:u w:val="single"/>
        </w:rPr>
        <w:t xml:space="preserve">количество - 1 единица, в том числе: </w:t>
      </w:r>
    </w:p>
    <w:p w:rsidR="00A65E1F" w:rsidRPr="0085416A" w:rsidRDefault="00A65E1F" w:rsidP="00076BF8">
      <w:pPr>
        <w:jc w:val="both"/>
        <w:rPr>
          <w:i/>
          <w:iCs/>
          <w:u w:val="single"/>
        </w:rPr>
      </w:pPr>
      <w:proofErr w:type="gramStart"/>
      <w:r w:rsidRPr="0085416A">
        <w:rPr>
          <w:i/>
          <w:iCs/>
          <w:u w:val="single"/>
        </w:rPr>
        <w:t>периодический осмотр проводится на основании Списка профессий и должностей работников, подлежащих периодическому осмотру в 202</w:t>
      </w:r>
      <w:r>
        <w:rPr>
          <w:i/>
          <w:iCs/>
          <w:u w:val="single"/>
        </w:rPr>
        <w:t>2</w:t>
      </w:r>
      <w:r w:rsidRPr="0085416A">
        <w:rPr>
          <w:i/>
          <w:iCs/>
          <w:u w:val="single"/>
        </w:rPr>
        <w:t xml:space="preserve">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</w:t>
      </w:r>
      <w:proofErr w:type="gramEnd"/>
      <w:r w:rsidRPr="0085416A">
        <w:rPr>
          <w:i/>
          <w:iCs/>
          <w:u w:val="single"/>
        </w:rPr>
        <w:t xml:space="preserve">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</w:t>
      </w:r>
      <w:r w:rsidRPr="0085416A">
        <w:t xml:space="preserve"> </w:t>
      </w:r>
      <w:r w:rsidRPr="0085416A">
        <w:rPr>
          <w:i/>
          <w:iCs/>
          <w:u w:val="single"/>
        </w:rPr>
        <w:t>по окончании прохождения работником периодического осмотра медицинской организацией оформляется заключение по его результатам;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 ответственность за качество проведения периодического осмотра работников предприятия возлагается на медицинскую организацию;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1" w:name="l271"/>
      <w:bookmarkStart w:id="2" w:name="l67"/>
      <w:bookmarkEnd w:id="1"/>
      <w:bookmarkEnd w:id="2"/>
    </w:p>
    <w:p w:rsidR="00A65E1F" w:rsidRPr="0085416A" w:rsidRDefault="00A65E1F" w:rsidP="00076BF8">
      <w:pPr>
        <w:autoSpaceDE w:val="0"/>
        <w:autoSpaceDN w:val="0"/>
        <w:adjustRightInd w:val="0"/>
        <w:ind w:firstLine="708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 xml:space="preserve">Ориентировочное количество работников  - </w:t>
      </w:r>
      <w:r>
        <w:rPr>
          <w:i/>
          <w:iCs/>
          <w:u w:val="single"/>
        </w:rPr>
        <w:t>214</w:t>
      </w:r>
      <w:r w:rsidRPr="0085416A">
        <w:rPr>
          <w:i/>
          <w:iCs/>
          <w:u w:val="single"/>
        </w:rPr>
        <w:t xml:space="preserve">  человек.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7. Требования к проведению пусконаладочных работ (при наличии):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8. Общие эксплуатационные и технические требования к услугам: </w:t>
      </w:r>
      <w:r w:rsidRPr="0085416A">
        <w:rPr>
          <w:i/>
          <w:iCs/>
          <w:u w:val="single"/>
        </w:rPr>
        <w:t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актами по проведению предварительных и (или) периодических медицинских осмотров работников, в том числе: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1)</w:t>
      </w:r>
      <w:r w:rsidRPr="0085416A">
        <w:rPr>
          <w:i/>
          <w:iCs/>
          <w:u w:val="single"/>
        </w:rPr>
        <w:t xml:space="preserve"> рентгенодиагностическое оборудование (не допускается замена на флюорографическое);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Pr="0085416A">
        <w:rPr>
          <w:i/>
          <w:iCs/>
          <w:u w:val="single"/>
        </w:rPr>
        <w:t>) оборудование для оценки функции внешнего дыхания;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3</w:t>
      </w:r>
      <w:r w:rsidRPr="0085416A">
        <w:rPr>
          <w:i/>
          <w:iCs/>
          <w:u w:val="single"/>
        </w:rPr>
        <w:t>) оборудование для ультразвукового исследования с набором датчиков для исследования органов брюшной полости (</w:t>
      </w:r>
      <w:proofErr w:type="spellStart"/>
      <w:r w:rsidRPr="0085416A">
        <w:rPr>
          <w:i/>
          <w:iCs/>
          <w:u w:val="single"/>
        </w:rPr>
        <w:t>гепатобилиарной</w:t>
      </w:r>
      <w:proofErr w:type="spellEnd"/>
      <w:r w:rsidRPr="0085416A">
        <w:rPr>
          <w:i/>
          <w:iCs/>
          <w:u w:val="single"/>
        </w:rPr>
        <w:t xml:space="preserve">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4</w:t>
      </w:r>
      <w:r w:rsidRPr="0085416A">
        <w:rPr>
          <w:i/>
          <w:iCs/>
          <w:u w:val="single"/>
        </w:rPr>
        <w:t xml:space="preserve">) оборудование для </w:t>
      </w:r>
      <w:proofErr w:type="spellStart"/>
      <w:r w:rsidRPr="0085416A">
        <w:rPr>
          <w:i/>
          <w:iCs/>
          <w:u w:val="single"/>
        </w:rPr>
        <w:t>биомикроскопии</w:t>
      </w:r>
      <w:proofErr w:type="spellEnd"/>
      <w:r w:rsidRPr="0085416A">
        <w:rPr>
          <w:i/>
          <w:iCs/>
          <w:u w:val="single"/>
        </w:rPr>
        <w:t xml:space="preserve"> и офтальмоскопии сред глаза, </w:t>
      </w:r>
      <w:proofErr w:type="spellStart"/>
      <w:r w:rsidRPr="0085416A">
        <w:rPr>
          <w:i/>
          <w:iCs/>
          <w:u w:val="single"/>
        </w:rPr>
        <w:t>офтальмотонометрии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5</w:t>
      </w:r>
      <w:r w:rsidRPr="0085416A">
        <w:rPr>
          <w:i/>
          <w:iCs/>
          <w:u w:val="single"/>
        </w:rPr>
        <w:t xml:space="preserve">) оборудование для анализа содержания основных вредных химических веществ (свинца, ртути) или их </w:t>
      </w:r>
      <w:proofErr w:type="spellStart"/>
      <w:r w:rsidRPr="0085416A">
        <w:rPr>
          <w:i/>
          <w:iCs/>
          <w:u w:val="single"/>
        </w:rPr>
        <w:t>ксенобитиков</w:t>
      </w:r>
      <w:proofErr w:type="spellEnd"/>
      <w:r w:rsidRPr="0085416A">
        <w:rPr>
          <w:i/>
          <w:iCs/>
          <w:u w:val="single"/>
        </w:rPr>
        <w:t xml:space="preserve"> в биологических средах организма;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6</w:t>
      </w:r>
      <w:r w:rsidRPr="0085416A">
        <w:rPr>
          <w:i/>
          <w:iCs/>
          <w:u w:val="single"/>
        </w:rPr>
        <w:t>) оборудование для клинического анализа крови и мочи (соответствующие анализаторы);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7</w:t>
      </w:r>
      <w:r w:rsidRPr="0085416A">
        <w:rPr>
          <w:i/>
          <w:iCs/>
          <w:u w:val="single"/>
        </w:rPr>
        <w:t>) оборудование для проведения биохимического скрининга (биохимический анализатор);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8</w:t>
      </w:r>
      <w:r w:rsidRPr="0085416A">
        <w:rPr>
          <w:i/>
          <w:iCs/>
          <w:u w:val="single"/>
        </w:rPr>
        <w:t xml:space="preserve">) оборудование для </w:t>
      </w:r>
      <w:proofErr w:type="spellStart"/>
      <w:r w:rsidRPr="0085416A">
        <w:rPr>
          <w:i/>
          <w:iCs/>
          <w:u w:val="single"/>
        </w:rPr>
        <w:t>электронейромиографии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9</w:t>
      </w:r>
      <w:r w:rsidRPr="0085416A">
        <w:rPr>
          <w:i/>
          <w:iCs/>
          <w:u w:val="single"/>
        </w:rPr>
        <w:t xml:space="preserve">) оборудование для оценки состояния </w:t>
      </w:r>
      <w:proofErr w:type="gramStart"/>
      <w:r w:rsidRPr="0085416A">
        <w:rPr>
          <w:i/>
          <w:iCs/>
          <w:u w:val="single"/>
        </w:rPr>
        <w:t>сердечно-сосудистой</w:t>
      </w:r>
      <w:proofErr w:type="gramEnd"/>
      <w:r w:rsidRPr="0085416A">
        <w:rPr>
          <w:i/>
          <w:iCs/>
          <w:u w:val="single"/>
        </w:rPr>
        <w:t xml:space="preserve"> системы - электрокардиографии, </w:t>
      </w:r>
      <w:proofErr w:type="spellStart"/>
      <w:r w:rsidRPr="0085416A">
        <w:rPr>
          <w:i/>
          <w:iCs/>
          <w:u w:val="single"/>
        </w:rPr>
        <w:t>реовазографии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1</w:t>
      </w:r>
      <w:r>
        <w:rPr>
          <w:i/>
          <w:iCs/>
          <w:u w:val="single"/>
        </w:rPr>
        <w:t>0</w:t>
      </w:r>
      <w:r w:rsidRPr="0085416A">
        <w:rPr>
          <w:i/>
          <w:iCs/>
          <w:u w:val="single"/>
        </w:rPr>
        <w:t>) оборудование для оценки функции органа слуха - аудиометрии;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1</w:t>
      </w:r>
      <w:r>
        <w:rPr>
          <w:i/>
          <w:iCs/>
          <w:u w:val="single"/>
        </w:rPr>
        <w:t>1</w:t>
      </w:r>
      <w:r w:rsidRPr="0085416A">
        <w:rPr>
          <w:i/>
          <w:iCs/>
          <w:u w:val="single"/>
        </w:rPr>
        <w:t>) оборудование для оценки порога вибрационной чувствительности (</w:t>
      </w:r>
      <w:proofErr w:type="spellStart"/>
      <w:r w:rsidRPr="0085416A">
        <w:rPr>
          <w:i/>
          <w:iCs/>
          <w:u w:val="single"/>
        </w:rPr>
        <w:t>паллестизиометрии</w:t>
      </w:r>
      <w:proofErr w:type="spellEnd"/>
      <w:r w:rsidRPr="0085416A">
        <w:rPr>
          <w:i/>
          <w:iCs/>
          <w:u w:val="single"/>
        </w:rPr>
        <w:t>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12</w:t>
      </w:r>
      <w:r w:rsidRPr="0085416A">
        <w:rPr>
          <w:i/>
          <w:iCs/>
          <w:u w:val="single"/>
        </w:rPr>
        <w:t>) прочее оборудование, предусмотренное действующими нормативными актами по проведению предварительных и (или) периодических медицинских осмотров работников.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>9. Требования к гарантийному и техническому обслуживанию:</w:t>
      </w:r>
      <w:r w:rsidRPr="0085416A">
        <w:t xml:space="preserve">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10. Требования к упаковке: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>11. Прочие дополнительные требования:</w:t>
      </w:r>
      <w:r w:rsidRPr="0085416A">
        <w:rPr>
          <w:i/>
          <w:iCs/>
        </w:rPr>
        <w:t xml:space="preserve"> </w:t>
      </w:r>
      <w:r w:rsidRPr="0085416A">
        <w:rPr>
          <w:i/>
          <w:iCs/>
          <w:u w:val="single"/>
        </w:rPr>
        <w:t>-проведение периодического осмотра работников в течени</w:t>
      </w:r>
      <w:proofErr w:type="gramStart"/>
      <w:r w:rsidRPr="0085416A">
        <w:rPr>
          <w:i/>
          <w:iCs/>
          <w:u w:val="single"/>
        </w:rPr>
        <w:t>и</w:t>
      </w:r>
      <w:proofErr w:type="gramEnd"/>
      <w:r w:rsidRPr="0085416A">
        <w:rPr>
          <w:i/>
          <w:iCs/>
          <w:u w:val="single"/>
        </w:rPr>
        <w:t xml:space="preserve"> 4-х дней по 50 человек ежедневно;</w:t>
      </w:r>
    </w:p>
    <w:p w:rsidR="00A65E1F" w:rsidRPr="0085416A" w:rsidRDefault="00A65E1F" w:rsidP="00A65E1F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0"/>
          <w:jc w:val="center"/>
        </w:trPr>
        <w:tc>
          <w:tcPr>
            <w:tcW w:w="4680" w:type="dxa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</w:t>
            </w: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16CE6">
              <w:rPr>
                <w:b/>
                <w:bCs/>
              </w:rPr>
              <w:t xml:space="preserve">Заказчик 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CB7B5A">
            <w:pPr>
              <w:jc w:val="both"/>
            </w:pP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CB7B5A"/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Pr="00016CE6" w:rsidRDefault="00160105" w:rsidP="00CB7B5A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C2FE0" w:rsidRDefault="00160105" w:rsidP="00CB7B5A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CB7B5A">
            <w:pPr>
              <w:jc w:val="both"/>
            </w:pPr>
            <w:r w:rsidRPr="00016CE6">
              <w:t>АО «КБ «Луч»</w:t>
            </w:r>
          </w:p>
          <w:p w:rsidR="00160105" w:rsidRPr="000C2FE0" w:rsidRDefault="00160105" w:rsidP="00CB7B5A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FB6CE5" w:rsidRDefault="00FB6CE5"/>
    <w:sectPr w:rsidR="00FB6CE5" w:rsidSect="00A50D4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B" w:rsidRDefault="00B97F0B" w:rsidP="00BB0FD9">
      <w:r>
        <w:separator/>
      </w:r>
    </w:p>
  </w:endnote>
  <w:endnote w:type="continuationSeparator" w:id="0">
    <w:p w:rsidR="00B97F0B" w:rsidRDefault="00B97F0B" w:rsidP="00B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05" w:rsidRDefault="00160105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276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2762">
      <w:rPr>
        <w:b/>
        <w:bCs/>
        <w:noProof/>
      </w:rPr>
      <w:t>6</w:t>
    </w:r>
    <w:r>
      <w:rPr>
        <w:b/>
        <w:bCs/>
      </w:rPr>
      <w:fldChar w:fldCharType="end"/>
    </w:r>
  </w:p>
  <w:p w:rsidR="00160105" w:rsidRDefault="00160105" w:rsidP="00BF0201">
    <w:pPr>
      <w:pStyle w:val="a5"/>
    </w:pPr>
    <w:r w:rsidRPr="00BF0201">
      <w:t>0605-20</w:t>
    </w:r>
    <w:r>
      <w:t>2</w:t>
    </w:r>
    <w:r w:rsidR="00A65E1F">
      <w:t>2</w:t>
    </w:r>
    <w:r w:rsidRPr="00BF0201">
      <w:t>-000</w:t>
    </w:r>
    <w:r>
      <w:t>0</w:t>
    </w:r>
    <w:r w:rsidR="00A65E1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B" w:rsidRDefault="00B97F0B" w:rsidP="00BB0FD9">
      <w:r>
        <w:separator/>
      </w:r>
    </w:p>
  </w:footnote>
  <w:footnote w:type="continuationSeparator" w:id="0">
    <w:p w:rsidR="00B97F0B" w:rsidRDefault="00B97F0B" w:rsidP="00BB0FD9">
      <w:r>
        <w:continuationSeparator/>
      </w:r>
    </w:p>
  </w:footnote>
  <w:footnote w:id="1">
    <w:p w:rsidR="00160105" w:rsidRDefault="00160105">
      <w:pPr>
        <w:pStyle w:val="ae"/>
      </w:pPr>
      <w:r>
        <w:rPr>
          <w:rStyle w:val="af0"/>
        </w:rPr>
        <w:footnoteRef/>
      </w:r>
      <w:r>
        <w:t xml:space="preserve"> После заполнения Проекта договора фраза подлежит удалению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D1C"/>
    <w:multiLevelType w:val="multilevel"/>
    <w:tmpl w:val="9C446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5"/>
    <w:rsid w:val="0001400C"/>
    <w:rsid w:val="00016CE6"/>
    <w:rsid w:val="00017493"/>
    <w:rsid w:val="00036A63"/>
    <w:rsid w:val="000A09E5"/>
    <w:rsid w:val="000A6252"/>
    <w:rsid w:val="000B20E1"/>
    <w:rsid w:val="000C2FE0"/>
    <w:rsid w:val="00101A3D"/>
    <w:rsid w:val="00123725"/>
    <w:rsid w:val="00132543"/>
    <w:rsid w:val="00152343"/>
    <w:rsid w:val="00160105"/>
    <w:rsid w:val="001D0F10"/>
    <w:rsid w:val="001F59B3"/>
    <w:rsid w:val="00251DED"/>
    <w:rsid w:val="00272F43"/>
    <w:rsid w:val="0036358D"/>
    <w:rsid w:val="00363EF0"/>
    <w:rsid w:val="003A1514"/>
    <w:rsid w:val="003B2FD3"/>
    <w:rsid w:val="003D425A"/>
    <w:rsid w:val="004127A8"/>
    <w:rsid w:val="00417B11"/>
    <w:rsid w:val="00421611"/>
    <w:rsid w:val="004320E3"/>
    <w:rsid w:val="00432205"/>
    <w:rsid w:val="0043643C"/>
    <w:rsid w:val="00442983"/>
    <w:rsid w:val="00480667"/>
    <w:rsid w:val="004C2B7A"/>
    <w:rsid w:val="004E1502"/>
    <w:rsid w:val="004E4FFF"/>
    <w:rsid w:val="00547006"/>
    <w:rsid w:val="00553876"/>
    <w:rsid w:val="005F4E9F"/>
    <w:rsid w:val="005F65F8"/>
    <w:rsid w:val="006906BF"/>
    <w:rsid w:val="006A67EF"/>
    <w:rsid w:val="006C067C"/>
    <w:rsid w:val="006E25E2"/>
    <w:rsid w:val="007857E0"/>
    <w:rsid w:val="0078777C"/>
    <w:rsid w:val="007E3CAE"/>
    <w:rsid w:val="00815F8D"/>
    <w:rsid w:val="0081746C"/>
    <w:rsid w:val="00841ECA"/>
    <w:rsid w:val="0086111D"/>
    <w:rsid w:val="00896667"/>
    <w:rsid w:val="008E4EDE"/>
    <w:rsid w:val="008E592E"/>
    <w:rsid w:val="00925B2C"/>
    <w:rsid w:val="00932762"/>
    <w:rsid w:val="00940BB0"/>
    <w:rsid w:val="009739B4"/>
    <w:rsid w:val="009C4CE2"/>
    <w:rsid w:val="009C4FC4"/>
    <w:rsid w:val="009C6316"/>
    <w:rsid w:val="00A4178F"/>
    <w:rsid w:val="00A50D44"/>
    <w:rsid w:val="00A65E1F"/>
    <w:rsid w:val="00AB2862"/>
    <w:rsid w:val="00AD2180"/>
    <w:rsid w:val="00AD46BD"/>
    <w:rsid w:val="00B01E3D"/>
    <w:rsid w:val="00B269EA"/>
    <w:rsid w:val="00B73443"/>
    <w:rsid w:val="00B97F0B"/>
    <w:rsid w:val="00BB0FD9"/>
    <w:rsid w:val="00BB2B86"/>
    <w:rsid w:val="00BF0201"/>
    <w:rsid w:val="00C03068"/>
    <w:rsid w:val="00CB7B5A"/>
    <w:rsid w:val="00D02258"/>
    <w:rsid w:val="00E13E53"/>
    <w:rsid w:val="00E21087"/>
    <w:rsid w:val="00E37B72"/>
    <w:rsid w:val="00EA2F3E"/>
    <w:rsid w:val="00ED4514"/>
    <w:rsid w:val="00FA6076"/>
    <w:rsid w:val="00FB6CE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1918</Words>
  <Characters>14398</Characters>
  <Application>Microsoft Office Word</Application>
  <DocSecurity>0</DocSecurity>
  <Lines>119</Lines>
  <Paragraphs>32</Paragraphs>
  <ScaleCrop>false</ScaleCrop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926_Grishina</dc:creator>
  <cp:lastModifiedBy>1</cp:lastModifiedBy>
  <cp:revision>11</cp:revision>
  <cp:lastPrinted>2018-03-14T13:25:00Z</cp:lastPrinted>
  <dcterms:created xsi:type="dcterms:W3CDTF">2021-04-08T10:44:00Z</dcterms:created>
  <dcterms:modified xsi:type="dcterms:W3CDTF">2022-03-25T10:26:00Z</dcterms:modified>
</cp:coreProperties>
</file>